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39C12"/>
          <w:sz w:val="18"/>
        </w:rPr>
        <w:t>UVOD U STATISTIKU U FIZIČKOM VASPITANJU I SPORTU · N02 · PRIPREMA I PRIKAZIVANJE PODATAKA</w:t>
      </w:r>
    </w:p>
    <w:p>
      <w:r>
        <w:rPr>
          <w:b/>
          <w:color w:val="1F3A93"/>
          <w:sz w:val="40"/>
        </w:rPr>
        <w:t>Zadatak za samostalni rad</w:t>
      </w:r>
    </w:p>
    <w:p>
      <w:r>
        <w:rPr>
          <w:color w:val="555555"/>
        </w:rPr>
        <w:t>Skok udalj iz mesta u 7. razredu: od evidencije nastavnika do tabela i grafikona · ukupno 50 bodova</w:t>
      </w:r>
    </w:p>
    <w:p>
      <w:pPr>
        <w:pStyle w:val="Heading1"/>
      </w:pPr>
      <w:r>
        <w:t>Situacija</w:t>
      </w:r>
    </w:p>
    <w:p>
      <w:r>
        <w:rPr>
          <w:i w:val="0"/>
        </w:rPr>
        <w:t>Nastavnik fizičkog vaspitanja testirao je skok udalj iz mesta u četiri odeljenja 7. razreda (VII-1 do VII-4), prema protokolu iz Priručnika za praćenje fizičkog razvoja i razvoja motoričkih sposobnosti učenika (Milanović i sar., 2016): sunožni odskok i doskok, tri skoka, meri se od linije odskoka do tačke dodira pete najbliže liniji, trakom sa tačnošću od 1 cm; beleži se najdalji skok. Rezultate je upisivao u Eksel (Excel), svako odeljenje na poseban list. Vaš zadatak je da te podatke pripremite za analizu i prikažete ih tabelama i grafikonima, istim postupkom kao na času.</w:t>
      </w:r>
    </w:p>
    <w:p>
      <w:r>
        <w:rPr>
          <w:i/>
          <w:sz w:val="20"/>
        </w:rPr>
        <w:t>Napomena: podaci su simulirani za potrebe nastave. Raspodela rezultata napravljena je tako da odgovara objavljenim normama za učenike u Srbiji (Milanovic i sar., 2019), ali to nisu rezultati stvarnih učenika.</w:t>
      </w:r>
    </w:p>
    <w:p>
      <w:pPr>
        <w:pStyle w:val="Heading1"/>
      </w:pPr>
      <w:r>
        <w:t>Podaci</w:t>
      </w:r>
    </w:p>
    <w:p>
      <w:r>
        <w:rPr>
          <w:i w:val="0"/>
        </w:rPr>
        <w:t>Fajl: STAT_IAS_N02_Homework_Dataset_SR.xlsx. Četiri lista (VII-1, VII-2, VII-3, VII-4). Na svakom listu: u prvom redu naslov sa datumom testiranja, zatim prazan red, pa zaglavlje sa kolonama:</w:t>
      </w:r>
    </w:p>
    <w:p>
      <w:pPr>
        <w:pStyle w:val="ListBullet"/>
      </w:pPr>
      <w:r>
        <w:rPr>
          <w:b/>
        </w:rPr>
        <w:t>Br.</w:t>
      </w:r>
      <w:r>
        <w:t xml:space="preserve"> broj učenika u dnevniku odeljenja</w:t>
      </w:r>
    </w:p>
    <w:p>
      <w:pPr>
        <w:pStyle w:val="ListBullet"/>
      </w:pPr>
      <w:r>
        <w:rPr>
          <w:b/>
        </w:rPr>
        <w:t>Pol</w:t>
      </w:r>
      <w:r>
        <w:t xml:space="preserve"> M = dečak, Ž = devojčica</w:t>
      </w:r>
    </w:p>
    <w:p>
      <w:pPr>
        <w:pStyle w:val="ListBullet"/>
      </w:pPr>
      <w:r>
        <w:rPr>
          <w:b/>
        </w:rPr>
        <w:t>1., 2. i 3. skok (cm)</w:t>
      </w:r>
      <w:r>
        <w:t xml:space="preserve"> dužina svakog od tri skoka, u centimetrima</w:t>
      </w:r>
    </w:p>
    <w:p>
      <w:pPr>
        <w:pStyle w:val="ListBullet"/>
      </w:pPr>
      <w:r>
        <w:rPr>
          <w:b/>
        </w:rPr>
        <w:t>Napomena</w:t>
      </w:r>
      <w:r>
        <w:t xml:space="preserve"> npr. „odsutan”</w:t>
      </w:r>
    </w:p>
    <w:p>
      <w:pPr>
        <w:pStyle w:val="Heading1"/>
      </w:pPr>
      <w:r>
        <w:t>Zone zdravlja</w:t>
      </w:r>
    </w:p>
    <w:p>
      <w:r>
        <w:rPr>
          <w:i w:val="0"/>
        </w:rPr>
        <w:t>Priručnik ne ocenjuje rezultat, već ga svrstava u zonu u odnosu na zdravlje. Donja granica zone zdravlja postavljena je tako da se očekuje da oko 75 % učenika istog pola i uzrasta bude u zoni ili iznad nje. Rezultat ispod zone znači da učeniku treba pomoći da tu sposobnost poboljša. Zona zdravlja nije ocena i ne sme se koristiti za ocenjivanje.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984"/>
            <w:shd w:val="clear" w:color="auto" w:fill="DCE3F0"/>
          </w:tcPr>
          <w:p>
            <w:r/>
            <w:r>
              <w:rPr>
                <w:b/>
                <w:sz w:val="20"/>
              </w:rPr>
              <w:t>Pol (7. razred)</w:t>
            </w:r>
          </w:p>
        </w:tc>
        <w:tc>
          <w:tcPr>
            <w:tcW w:type="dxa" w:w="2268"/>
            <w:shd w:val="clear" w:color="auto" w:fill="DCE3F0"/>
          </w:tcPr>
          <w:p>
            <w:r/>
            <w:r>
              <w:rPr>
                <w:b/>
                <w:sz w:val="20"/>
              </w:rPr>
              <w:t>U zoni zdravlja</w:t>
            </w:r>
          </w:p>
        </w:tc>
        <w:tc>
          <w:tcPr>
            <w:tcW w:type="dxa" w:w="2268"/>
            <w:shd w:val="clear" w:color="auto" w:fill="DCE3F0"/>
          </w:tcPr>
          <w:p>
            <w:r/>
            <w:r>
              <w:rPr>
                <w:b/>
                <w:sz w:val="20"/>
              </w:rPr>
              <w:t>Ispod zone zdravlja</w:t>
            </w:r>
          </w:p>
        </w:tc>
        <w:tc>
          <w:tcPr>
            <w:tcW w:type="dxa" w:w="2268"/>
            <w:shd w:val="clear" w:color="auto" w:fill="DCE3F0"/>
          </w:tcPr>
          <w:p>
            <w:r/>
            <w:r>
              <w:rPr>
                <w:b/>
                <w:sz w:val="20"/>
              </w:rPr>
              <w:t>Iznad zone zdravlja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Dečaci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150–190 cm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manje od 150 cm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više od 190 cm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0"/>
              </w:rPr>
              <w:t>Devojčice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125–161 cm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manje od 125 cm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više od 161 cm</w:t>
            </w:r>
          </w:p>
        </w:tc>
      </w:tr>
    </w:tbl>
    <w:p>
      <w:r>
        <w:rPr>
          <w:i/>
          <w:color w:val="555555"/>
          <w:sz w:val="18"/>
        </w:rPr>
        <w:t>Izvor: Milanović i sar. (2016), tabela 1 (kriterijumske referentne vrednosti, skok udalj iz mesta). Granice pripadaju zoni zdravlja (150 i 190 cm kod dečaka, 125 i 161 cm kod devojčica su „u zoni”).</w:t>
      </w:r>
    </w:p>
    <w:p>
      <w:pPr>
        <w:pStyle w:val="Heading1"/>
      </w:pPr>
      <w:r>
        <w:t>Zadaci</w:t>
      </w:r>
    </w:p>
    <w:p>
      <w:r>
        <w:rPr>
          <w:b/>
          <w:color w:val="1F3A93"/>
        </w:rPr>
        <w:t xml:space="preserve">1. Matrica podataka u Ekselu </w:t>
      </w:r>
      <w:r>
        <w:rPr>
          <w:color w:val="555555"/>
        </w:rPr>
        <w:t>(7 b)</w:t>
      </w:r>
    </w:p>
    <w:p>
      <w:r>
        <w:t>Četiri lista (po odeljenju) spojite u jednu matricu na jednom listu: jedan red = jedan učenik, jedna kolona = jedna varijabla. Kolone: ID, Odeljenje, Br, Pol, Skok1, Skok2, Skok3. Uklonite naslov i prazan red iznad zaglavlja. ID neka bude jedinstven redni broj od 1 do 104 (broj u dnevniku se ponavlja u svakom odeljenju, zato nije dovoljan). Kod odsutnih učenika ćelije sa skokovima ostaju PRAZNE (ne upisujte 0). Kolonu Napomena ne prenosite u matricu. Sačuvajte matricu kao Eksel fajl sa jednim listom (.xlsx).</w:t>
      </w:r>
    </w:p>
    <w:p>
      <w:r>
        <w:rPr>
          <w:b/>
          <w:color w:val="1F3A93"/>
        </w:rPr>
        <w:t xml:space="preserve">2. Vrste varijabli (Džamovi (jamovi)) </w:t>
      </w:r>
      <w:r>
        <w:rPr>
          <w:color w:val="555555"/>
        </w:rPr>
        <w:t>(4 b)</w:t>
      </w:r>
    </w:p>
    <w:p>
      <w:r>
        <w:t>Otvorite matricu u Džamoviju i proverite vrstu svake varijable: ID → ID; Odeljenje i Pol → Nominal; Skok1–3 → Continuous. Ispravite ono što Džamovi nije sam dobro prepoznao.</w:t>
      </w:r>
    </w:p>
    <w:p>
      <w:r>
        <w:rPr>
          <w:b/>
          <w:color w:val="1F3A93"/>
        </w:rPr>
        <w:t xml:space="preserve">3. Rezultat testa </w:t>
      </w:r>
      <w:r>
        <w:rPr>
          <w:color w:val="555555"/>
        </w:rPr>
        <w:t>(3 b)</w:t>
      </w:r>
    </w:p>
    <w:p>
      <w:r>
        <w:t>Prema protokolu testa, rezultat je najdalji od tri skoka. Napravite novu kolonu Rezultat (Data → Compute) formulom MAX(Skok1, Skok2, Skok3). Proverite da je kod odsutnih Rezultat prazan.</w:t>
      </w:r>
    </w:p>
    <w:p>
      <w:r>
        <w:rPr>
          <w:b/>
          <w:color w:val="1F3A93"/>
        </w:rPr>
        <w:t xml:space="preserve">4. Zona zdravlja </w:t>
      </w:r>
      <w:r>
        <w:rPr>
          <w:color w:val="555555"/>
        </w:rPr>
        <w:t>(5 b)</w:t>
      </w:r>
    </w:p>
    <w:p>
      <w:r>
        <w:t>Napravite kolonu Zona (Data → Compute) sa tri kategorije: Ispod zone zdravlja, U zoni zdravlja, Iznad zone zdravlja. Granice su različite za dečake i devojčice (tabela iznad), pa formula mora da koristi i Pol i Rezultat (funkcija IF). Zatim u Setup-u podesite vrstu Ordinal i redosled nivoa: ispod, u zoni, iznad.</w:t>
      </w:r>
    </w:p>
    <w:p>
      <w:r>
        <w:rPr>
          <w:b/>
          <w:color w:val="1F3A93"/>
        </w:rPr>
        <w:t xml:space="preserve">5. Tabele frekvencija </w:t>
      </w:r>
      <w:r>
        <w:rPr>
          <w:color w:val="555555"/>
        </w:rPr>
        <w:t>(4 b)</w:t>
      </w:r>
    </w:p>
    <w:p>
      <w:r>
        <w:t>Napravite tabele frekvencija (broj i %) za Pol, Odeljenje i Zonu. Napišite koliko učenika nije testirano i zašto oni ne ulaze u procente za zonu.</w:t>
      </w:r>
    </w:p>
    <w:p>
      <w:r>
        <w:rPr>
          <w:b/>
          <w:color w:val="1F3A93"/>
        </w:rPr>
        <w:t xml:space="preserve">6. Zona prema polu </w:t>
      </w:r>
      <w:r>
        <w:rPr>
          <w:color w:val="555555"/>
        </w:rPr>
        <w:t>(4 b)</w:t>
      </w:r>
    </w:p>
    <w:p>
      <w:r>
        <w:t>Napravite tabelu Zona × Pol (Analyses → Frequencies → Independent Samples) sa procentima po koloni. Objasnite u jednoj rečenici zašto su ovde potrebni procenti po koloni, a ne samo brojevi učenika. Test ispod tabele (χ²) u ovoj lekciji ne tumačimo.</w:t>
      </w:r>
    </w:p>
    <w:p>
      <w:r>
        <w:rPr>
          <w:b/>
          <w:color w:val="1F3A93"/>
        </w:rPr>
        <w:t xml:space="preserve">7. Grupisanje rezultata </w:t>
      </w:r>
      <w:r>
        <w:rPr>
          <w:color w:val="555555"/>
        </w:rPr>
        <w:t>(5 b)</w:t>
      </w:r>
    </w:p>
    <w:p>
      <w:r>
        <w:t>Rezultat grupišite u razrede širine 20 cm: 80–99, 100–119, …, 220–239 cm (Data → Transform, uslovi „if $source &lt; 100 use …”). Napravite tabelu frekvencija razreda (broj, %, kumulativni %), za sve učenike i posebno za dečake i devojčice.</w:t>
      </w:r>
    </w:p>
    <w:p>
      <w:r>
        <w:rPr>
          <w:b/>
          <w:color w:val="1F3A93"/>
        </w:rPr>
        <w:t xml:space="preserve">8. Grafički prikaz </w:t>
      </w:r>
      <w:r>
        <w:rPr>
          <w:color w:val="555555"/>
        </w:rPr>
        <w:t>(2 b)</w:t>
      </w:r>
    </w:p>
    <w:p>
      <w:r>
        <w:t>Napravite histogram Rezultata posebno za dečake i devojčice (Descriptives, Split by: Pol, Plots → Histogram).</w:t>
      </w:r>
    </w:p>
    <w:p>
      <w:r>
        <w:rPr>
          <w:b/>
          <w:color w:val="1F3A93"/>
        </w:rPr>
        <w:t xml:space="preserve">9. Kratak izveštaj </w:t>
      </w:r>
      <w:r>
        <w:rPr>
          <w:color w:val="555555"/>
        </w:rPr>
        <w:t>(6 b)</w:t>
      </w:r>
    </w:p>
    <w:p>
      <w:r>
        <w:t>U 6 do 10 rečenica opišite šta pokazuju tabele i grafikon: koliko je učenika u kojoj zoni, kako se raspodela razlikuje između dečaka i devojčica, i zašto se rezultat tumači prema normi za pol i uzrast. Ne koristite prosek, medijanu ni druge pokazatelje: to je tema sledeće lekcije.</w:t>
      </w:r>
    </w:p>
    <w:p>
      <w:pPr>
        <w:pStyle w:val="Heading1"/>
      </w:pPr>
      <w:r>
        <w:t>Pitanja za razumevanje (10 b)</w:t>
      </w:r>
    </w:p>
    <w:p>
      <w:r>
        <w:rPr>
          <w:i/>
          <w:sz w:val="20"/>
        </w:rPr>
        <w:t>Odgovorite kratko (2 do 4 rečenice), na osnovu svojih podataka i tabela. Pitanja povezuju pojmove iz lekcije sa odlukama koje nastavnik fizičkog vaspitanja zaista donosi.</w:t>
      </w:r>
    </w:p>
    <w:p>
      <w:r>
        <w:rPr>
          <w:b/>
          <w:color w:val="1F3A93"/>
        </w:rPr>
        <w:t xml:space="preserve">P1. Format matrice </w:t>
      </w:r>
      <w:r>
        <w:rPr>
          <w:color w:val="555555"/>
        </w:rPr>
        <w:t>(1 b)</w:t>
      </w:r>
    </w:p>
    <w:p>
      <w:r>
        <w:t>Za svakog učenika imamo tri skoka. U vašoj matrici oni su u tri kolone (Skok1, Skok2, Skok3) u istom redu. Zašto je to ispravno za ovaj zadatak? Kada bi bilo bolje da svaki pokušaj bude poseban red?</w:t>
      </w:r>
    </w:p>
    <w:p>
      <w:r>
        <w:rPr>
          <w:b/>
          <w:color w:val="1F3A93"/>
        </w:rPr>
        <w:t xml:space="preserve">P2. Jedinstven ID </w:t>
      </w:r>
      <w:r>
        <w:rPr>
          <w:color w:val="555555"/>
        </w:rPr>
        <w:t>(1 b)</w:t>
      </w:r>
    </w:p>
    <w:p>
      <w:r>
        <w:t>Nastavnik će sledeće nedelje testirati i ležanje–sed, u posebnom fajlu, pa želi da oba testa spoji u jednu matricu. Šta bi se desilo da kao oznaku učenika koristi samo broj u dnevniku?</w:t>
      </w:r>
    </w:p>
    <w:p>
      <w:r>
        <w:rPr>
          <w:b/>
          <w:color w:val="1F3A93"/>
        </w:rPr>
        <w:t xml:space="preserve">P3. Varijabla i skala merenja </w:t>
      </w:r>
      <w:r>
        <w:rPr>
          <w:color w:val="555555"/>
        </w:rPr>
        <w:t>(1 b)</w:t>
      </w:r>
    </w:p>
    <w:p>
      <w:r>
        <w:t>Rezultat (cm) i Zona opisuju isti skok. Na kojoj je skali merenja svaka od njih? Šta se gubi kada rezultat pretvorimo u zonu? Navedite primer dva dečaka iz zone zdravlja čiji se skokovi mnogo razlikuju.</w:t>
      </w:r>
    </w:p>
    <w:p>
      <w:r>
        <w:rPr>
          <w:b/>
          <w:color w:val="1F3A93"/>
        </w:rPr>
        <w:t xml:space="preserve">P4. Nedostajući podatak </w:t>
      </w:r>
      <w:r>
        <w:rPr>
          <w:color w:val="555555"/>
        </w:rPr>
        <w:t>(1 b)</w:t>
      </w:r>
    </w:p>
    <w:p>
      <w:r>
        <w:t>Zašto je kod odsutnog učenika ćelija prazna, a ne 0? Šta bi roditelj tog učenika pogrešno zaključio iz izveštaja da je upisana nula?</w:t>
      </w:r>
    </w:p>
    <w:p>
      <w:r>
        <w:rPr>
          <w:b/>
          <w:color w:val="1F3A93"/>
        </w:rPr>
        <w:t xml:space="preserve">P5. Procenti po koloni </w:t>
      </w:r>
      <w:r>
        <w:rPr>
          <w:color w:val="555555"/>
        </w:rPr>
        <w:t>(1 b)</w:t>
      </w:r>
    </w:p>
    <w:p>
      <w:r>
        <w:t>Direktor pita: „Da li su devojčice lošije od dečaka u ovom testu?” Šta biste odgovorili samo na osnovu broja učenika ispod zone, a šta na osnovu procenata po koloni? Koji odgovor je ispravan i zašto?</w:t>
      </w:r>
    </w:p>
    <w:p>
      <w:r>
        <w:rPr>
          <w:b/>
          <w:color w:val="1F3A93"/>
        </w:rPr>
        <w:t xml:space="preserve">P6. Norma za pol i uzrast </w:t>
      </w:r>
      <w:r>
        <w:rPr>
          <w:color w:val="555555"/>
        </w:rPr>
        <w:t>(1 b)</w:t>
      </w:r>
    </w:p>
    <w:p>
      <w:r>
        <w:t>Dečak i devojčica iz 7. razreda skočili su po 140 cm. U kojoj je zoni svako od njih? Zašto granice nisu iste za oba pola, i šta bi se desilo da koristimo iste granice za sve?</w:t>
      </w:r>
    </w:p>
    <w:p>
      <w:r>
        <w:rPr>
          <w:b/>
          <w:color w:val="1F3A93"/>
        </w:rPr>
        <w:t xml:space="preserve">P7. Sa kim poredimo </w:t>
      </w:r>
      <w:r>
        <w:rPr>
          <w:color w:val="555555"/>
        </w:rPr>
        <w:t>(1 b)</w:t>
      </w:r>
    </w:p>
    <w:p>
      <w:r>
        <w:t>Evropske norme (Ortega i sar., 2023) zasnovane su na više od milion skokova iz 34 zemlje. Zašto u školi u Srbiji koristimo granice iz domaćeg priručnika, a ne evropske? Kada bi poređenje sa evropskim normama imalo smisla?</w:t>
      </w:r>
    </w:p>
    <w:p>
      <w:r>
        <w:rPr>
          <w:b/>
          <w:color w:val="1F3A93"/>
        </w:rPr>
        <w:t xml:space="preserve">P8. Širina razreda </w:t>
      </w:r>
      <w:r>
        <w:rPr>
          <w:color w:val="555555"/>
        </w:rPr>
        <w:t>(1 b)</w:t>
      </w:r>
    </w:p>
    <w:p>
      <w:r>
        <w:t>Rezultate ste grupisali u razrede širine 20 cm. Šta bi se videlo na histogramu da je širina 5 cm, a šta da je 50 cm? Zašto širina razreda nije samo tehnički izbor?</w:t>
      </w:r>
    </w:p>
    <w:p>
      <w:r>
        <w:rPr>
          <w:b/>
          <w:color w:val="1F3A93"/>
        </w:rPr>
        <w:t xml:space="preserve">P9. Merenje i granica </w:t>
      </w:r>
      <w:r>
        <w:rPr>
          <w:color w:val="555555"/>
        </w:rPr>
        <w:t>(1 b)</w:t>
      </w:r>
    </w:p>
    <w:p>
      <w:r>
        <w:t>Tri skoka istog učenika razlikuju se i za više centimetara, a traka meri na 1 cm. Učenik sa 149 cm je ispod zone, a sa 150 cm u zoni. Koliko je učenika u vašim podacima na 2 cm ili manje od neke granice? Šta to znači za učenika koji je „za centimetar” ispod zone?</w:t>
      </w:r>
    </w:p>
    <w:p>
      <w:r>
        <w:rPr>
          <w:b/>
          <w:color w:val="1F3A93"/>
        </w:rPr>
        <w:t xml:space="preserve">P10. Od tabele do odluke </w:t>
      </w:r>
      <w:r>
        <w:rPr>
          <w:color w:val="555555"/>
        </w:rPr>
        <w:t>(1 b)</w:t>
      </w:r>
    </w:p>
    <w:p>
      <w:r>
        <w:t>Napravite tabelu Zona × Odeljenje sa procentima po koloni. U kom odeljenju je najveći deo učenika ispod zone zdravlja? Kako bi nastavnik mogao da iskoristi taj podatak u planiranju časova, i zašto zona ne sme da se koristi za ocenu?</w:t>
      </w:r>
    </w:p>
    <w:p>
      <w:pPr>
        <w:pStyle w:val="Heading1"/>
      </w:pPr>
      <w:r>
        <w:t>Šta predajete</w:t>
      </w:r>
    </w:p>
    <w:p>
      <w:pPr>
        <w:pStyle w:val="ListBullet"/>
      </w:pPr>
      <w:r>
        <w:rPr>
          <w:b/>
        </w:rPr>
        <w:t>Eksel:</w:t>
      </w:r>
      <w:r>
        <w:t xml:space="preserve"> matricu (.xlsx, jedan list);</w:t>
      </w:r>
    </w:p>
    <w:p>
      <w:pPr>
        <w:pStyle w:val="ListBullet"/>
      </w:pPr>
      <w:r>
        <w:rPr>
          <w:b/>
        </w:rPr>
        <w:t>Džamovi:</w:t>
      </w:r>
      <w:r>
        <w:t xml:space="preserve"> fajl sa podacima, izvedenim kolonama i analizama (.omv);</w:t>
      </w:r>
    </w:p>
    <w:p>
      <w:pPr>
        <w:pStyle w:val="ListBullet"/>
      </w:pPr>
      <w:r>
        <w:rPr>
          <w:b/>
        </w:rPr>
        <w:t>Izveštaj:</w:t>
      </w:r>
      <w:r>
        <w:t xml:space="preserve"> izveštaj (Word ili PDF): tabele iz zadataka 5–7, grafikon iz zadatka 8, tekst iz zadatka 9 i odgovore na pitanja P1–P10.</w:t>
      </w:r>
    </w:p>
    <w:p>
      <w:r>
        <w:rPr>
          <w:i/>
        </w:rPr>
        <w:t>Rok i način predaje: prema uputstvu na stranici predmeta.</w:t>
      </w:r>
    </w:p>
    <w:p>
      <w:pPr>
        <w:pStyle w:val="Heading1"/>
      </w:pPr>
      <w:r>
        <w:t>Pomoć</w:t>
      </w:r>
    </w:p>
    <w:p>
      <w:r>
        <w:rPr>
          <w:i w:val="0"/>
        </w:rPr>
        <w:t>Isti koraci prikazani su u video zapisima vežbe N02: sređivanje podataka u Ekselu i priprema i prikaz podataka u Džamoviju. Za Džamovi: matricu čuvajte kao Eksel fajl sa jednim listom, ne kao CSV (CSV iz Eksela sa srpskim podešavanjima može pogrešno da prenese decimalni zarez).</w:t>
      </w:r>
    </w:p>
    <w:p>
      <w:pPr>
        <w:pStyle w:val="Heading1"/>
      </w:pPr>
      <w:r>
        <w:t>Literatura</w:t>
      </w:r>
    </w:p>
    <w:p>
      <w:pPr>
        <w:ind w:left="454" w:hanging="454"/>
      </w:pPr>
      <w:r>
        <w:rPr>
          <w:i w:val="0"/>
          <w:sz w:val="20"/>
        </w:rPr>
        <w:t xml:space="preserve">Broman, K. W., &amp; Woo, K. H. (2018). Data organization in spreadsheets. </w:t>
      </w:r>
      <w:r>
        <w:rPr>
          <w:i/>
          <w:sz w:val="20"/>
        </w:rPr>
        <w:t>The American Statistician</w:t>
      </w:r>
      <w:r>
        <w:rPr>
          <w:i w:val="0"/>
          <w:sz w:val="20"/>
        </w:rPr>
        <w:t xml:space="preserve">, </w:t>
      </w:r>
      <w:r>
        <w:rPr>
          <w:i/>
          <w:sz w:val="20"/>
        </w:rPr>
        <w:t>72</w:t>
      </w:r>
      <w:r>
        <w:rPr>
          <w:i w:val="0"/>
          <w:sz w:val="20"/>
        </w:rPr>
        <w:t>(1), 2–10. https://doi.org/10.1080/00031305.2017.1375989</w:t>
      </w:r>
    </w:p>
    <w:p>
      <w:pPr>
        <w:ind w:left="454" w:hanging="454"/>
      </w:pPr>
      <w:r>
        <w:rPr>
          <w:i w:val="0"/>
          <w:sz w:val="20"/>
        </w:rPr>
        <w:t xml:space="preserve">Dizdar, D. (2006). </w:t>
      </w:r>
      <w:r>
        <w:rPr>
          <w:i/>
          <w:sz w:val="20"/>
        </w:rPr>
        <w:t>Kvantitativne metode</w:t>
      </w:r>
      <w:r>
        <w:rPr>
          <w:i w:val="0"/>
          <w:sz w:val="20"/>
        </w:rPr>
        <w:t>. Kineziološki fakultet Sveučilišta u Zagrebu.</w:t>
      </w:r>
    </w:p>
    <w:p>
      <w:pPr>
        <w:ind w:left="454" w:hanging="454"/>
      </w:pPr>
      <w:r>
        <w:rPr>
          <w:i w:val="0"/>
          <w:sz w:val="20"/>
        </w:rPr>
        <w:t xml:space="preserve">Milanović, I., Radisavljević Janić, S., Čaprić, G., &amp; Mirkov, D. (2016). </w:t>
      </w:r>
      <w:r>
        <w:rPr>
          <w:i/>
          <w:sz w:val="20"/>
        </w:rPr>
        <w:t>Priručnik za praćenje fizičkog razvoja i razvoja motoričkih sposobnosti učenika u nastavi fizičkog vaspitanja</w:t>
      </w:r>
      <w:r>
        <w:rPr>
          <w:i w:val="0"/>
          <w:sz w:val="20"/>
        </w:rPr>
        <w:t>. Zavod za vrednovanje kvaliteta obrazovanja i vaspitanja.</w:t>
      </w:r>
    </w:p>
    <w:p>
      <w:pPr>
        <w:ind w:left="454" w:hanging="454"/>
      </w:pPr>
      <w:r>
        <w:rPr>
          <w:i w:val="0"/>
          <w:sz w:val="20"/>
        </w:rPr>
        <w:t xml:space="preserve">Milanovic, I., Radisavljevic-Janic, S., Zivkovic, M. Z., &amp; Mirkov, D. M. (2019). Health-related physical fitness levels and prevalence of obesity in Serbian elementary schoolchildren. </w:t>
      </w:r>
      <w:r>
        <w:rPr>
          <w:i/>
          <w:sz w:val="20"/>
        </w:rPr>
        <w:t>Nutrición Hospitalaria</w:t>
      </w:r>
      <w:r>
        <w:rPr>
          <w:i w:val="0"/>
          <w:sz w:val="20"/>
        </w:rPr>
        <w:t xml:space="preserve">, </w:t>
      </w:r>
      <w:r>
        <w:rPr>
          <w:i/>
          <w:sz w:val="20"/>
        </w:rPr>
        <w:t>36</w:t>
      </w:r>
      <w:r>
        <w:rPr>
          <w:i w:val="0"/>
          <w:sz w:val="20"/>
        </w:rPr>
        <w:t>(2), 253–260. https://doi.org/10.20960/nh.2041</w:t>
      </w:r>
    </w:p>
    <w:p>
      <w:pPr>
        <w:ind w:left="454" w:hanging="454"/>
      </w:pPr>
      <w:r>
        <w:rPr>
          <w:i w:val="0"/>
          <w:sz w:val="20"/>
        </w:rPr>
        <w:t xml:space="preserve">Ortega, F. B., Leskošek, B., Blagus, R., Gil-Cosano, J. J., Mäestu, J., Tomkinson, G. R., Ruiz, J. R., Mäestu, E., Starc, G., Milanovic, I., Tammelin, T. H., Sorić, M., Scheuer, C., Carraro, A., Kaj, M., Csányi, T., Sardinha, L. B., Lenoir, M., Emeljanovas, A., . . . Jurak, G. (2023). European fitness landscape for children and adolescents: Updated reference values, fitness maps and country rankings based on nearly 8 million test results from 34 countries gathered by the FitBack network. </w:t>
      </w:r>
      <w:r>
        <w:rPr>
          <w:i/>
          <w:sz w:val="20"/>
        </w:rPr>
        <w:t>British Journal of Sports Medicine</w:t>
      </w:r>
      <w:r>
        <w:rPr>
          <w:i w:val="0"/>
          <w:sz w:val="20"/>
        </w:rPr>
        <w:t xml:space="preserve">, </w:t>
      </w:r>
      <w:r>
        <w:rPr>
          <w:i/>
          <w:sz w:val="20"/>
        </w:rPr>
        <w:t>57</w:t>
      </w:r>
      <w:r>
        <w:rPr>
          <w:i w:val="0"/>
          <w:sz w:val="20"/>
        </w:rPr>
        <w:t>(5), 299–310. https://doi.org/10.1136/bjsports-2022-106176</w:t>
      </w:r>
    </w:p>
    <w:p>
      <w:pPr>
        <w:ind w:left="454" w:hanging="454"/>
      </w:pPr>
      <w:r>
        <w:rPr>
          <w:i w:val="0"/>
          <w:sz w:val="20"/>
        </w:rPr>
        <w:t xml:space="preserve">The jamovi project. (2025). </w:t>
      </w:r>
      <w:r>
        <w:rPr>
          <w:i/>
          <w:sz w:val="20"/>
        </w:rPr>
        <w:t>jamovi</w:t>
      </w:r>
      <w:r>
        <w:rPr>
          <w:i w:val="0"/>
          <w:sz w:val="20"/>
        </w:rPr>
        <w:t xml:space="preserve"> (Version 2.7) [Computer software]. https://www.jamovi.org</w:t>
      </w:r>
    </w:p>
    <w:p>
      <w:pPr>
        <w:ind w:left="454" w:hanging="454"/>
      </w:pPr>
      <w:r>
        <w:rPr>
          <w:i w:val="0"/>
          <w:sz w:val="20"/>
        </w:rPr>
        <w:t xml:space="preserve">Vincent, W. J., &amp; Weir, J. P. (2012). </w:t>
      </w:r>
      <w:r>
        <w:rPr>
          <w:i/>
          <w:sz w:val="20"/>
        </w:rPr>
        <w:t>Statistics in kinesiology</w:t>
      </w:r>
      <w:r>
        <w:rPr>
          <w:i w:val="0"/>
          <w:sz w:val="20"/>
        </w:rPr>
        <w:t xml:space="preserve"> (4th ed.). Human Kinetics.</w:t>
      </w:r>
    </w:p>
    <w:p>
      <w:pPr>
        <w:ind w:left="454" w:hanging="454"/>
      </w:pPr>
      <w:r>
        <w:rPr>
          <w:i w:val="0"/>
          <w:sz w:val="20"/>
        </w:rPr>
        <w:t xml:space="preserve">Wickham, H. (2014). Tidy data. </w:t>
      </w:r>
      <w:r>
        <w:rPr>
          <w:i/>
          <w:sz w:val="20"/>
        </w:rPr>
        <w:t>Journal of Statistical Software</w:t>
      </w:r>
      <w:r>
        <w:rPr>
          <w:i w:val="0"/>
          <w:sz w:val="20"/>
        </w:rPr>
        <w:t xml:space="preserve">, </w:t>
      </w:r>
      <w:r>
        <w:rPr>
          <w:i/>
          <w:sz w:val="20"/>
        </w:rPr>
        <w:t>59</w:t>
      </w:r>
      <w:r>
        <w:rPr>
          <w:i w:val="0"/>
          <w:sz w:val="20"/>
        </w:rPr>
        <w:t>(10), 1–23. https://doi.org/10.18637/jss.v059.i10</w:t>
      </w:r>
    </w:p>
    <w:p>
      <w:pPr>
        <w:spacing w:before="240"/>
      </w:pPr>
      <w:r>
        <w:rPr>
          <w:i/>
          <w:color w:val="66707A"/>
          <w:sz w:val="16"/>
        </w:rPr>
        <w:t>Upotreba veštačke inteligencije: autor je vodio izradu ovog materijala od ideje do gotovog sadržaja — osmislio ga je, postavio pravila pisanja i upotrebe jezika i proverio svaki deo. Kao pomoć je korišćen Claude Code (Anthropic), asistent zasnovan na veštačkoj inteligenciji: za pisanje programa kojima su napravljeni slajdovi, slike i dokumenti, za predloge teksta i za jezičku proveru po pravilima autora. Za sadržaj odgovara autor.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3A9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3A93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